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72F196" w14:textId="77777777" w:rsidR="004058AF" w:rsidRPr="004058AF" w:rsidRDefault="004058AF" w:rsidP="004058AF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pl-PL"/>
          <w14:ligatures w14:val="none"/>
        </w:rPr>
      </w:pPr>
      <w:r w:rsidRPr="004058AF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pl-PL"/>
          <w14:ligatures w14:val="none"/>
        </w:rPr>
        <w:t xml:space="preserve">Informacja bezpieczeństwa: Kredki ołówkowe </w:t>
      </w:r>
      <w:proofErr w:type="spellStart"/>
      <w:r w:rsidRPr="004058AF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pl-PL"/>
          <w14:ligatures w14:val="none"/>
        </w:rPr>
        <w:t>Staedtler</w:t>
      </w:r>
      <w:proofErr w:type="spellEnd"/>
      <w:r w:rsidRPr="004058AF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pl-PL"/>
          <w14:ligatures w14:val="none"/>
        </w:rPr>
        <w:t xml:space="preserve"> </w:t>
      </w:r>
      <w:proofErr w:type="spellStart"/>
      <w:r w:rsidRPr="004058AF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pl-PL"/>
          <w14:ligatures w14:val="none"/>
        </w:rPr>
        <w:t>Omnichrom</w:t>
      </w:r>
      <w:proofErr w:type="spellEnd"/>
    </w:p>
    <w:p w14:paraId="5AAAE9CC" w14:textId="60CBCBE8" w:rsidR="004058AF" w:rsidRPr="004058AF" w:rsidRDefault="004058AF" w:rsidP="004058A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4058AF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Kredki ołówkowe </w:t>
      </w:r>
      <w:proofErr w:type="spellStart"/>
      <w:r w:rsidRPr="004058AF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Staedtler</w:t>
      </w:r>
      <w:proofErr w:type="spellEnd"/>
      <w:r w:rsidRPr="004058AF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</w:t>
      </w:r>
      <w:proofErr w:type="spellStart"/>
      <w:r w:rsidRPr="004058AF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Omnichrom</w:t>
      </w:r>
      <w:proofErr w:type="spellEnd"/>
      <w:r w:rsidRPr="004058AF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(znane również jako </w:t>
      </w:r>
      <w:proofErr w:type="spellStart"/>
      <w:r w:rsidRPr="004058AF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Lumocolor</w:t>
      </w:r>
      <w:proofErr w:type="spellEnd"/>
      <w:r w:rsidRPr="004058AF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® non-permanent </w:t>
      </w:r>
      <w:proofErr w:type="spellStart"/>
      <w:r w:rsidRPr="004058AF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Omnichrom</w:t>
      </w:r>
      <w:proofErr w:type="spellEnd"/>
      <w:r w:rsidRPr="004058AF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, modele np. 108 lub 768) to drewniane, sześciokątne kredki z wodą-rozpuszczalnym grafitem, przeznaczone do znakowania na niemal wszystkich powierzchniach (papier, plastik, metal, szkło, drewno, skóra, kamień). Są niepermanentne, </w:t>
      </w:r>
      <w:proofErr w:type="spellStart"/>
      <w:r w:rsidRPr="004058AF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światłotrwałe</w:t>
      </w:r>
      <w:proofErr w:type="spellEnd"/>
      <w:r w:rsidRPr="004058AF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, bezwonne i niekorodujące. Produkt jest bezpieczny do użytku codziennego, w tym przez dzieci i w środowisku zawodowym (np. budowlanym, artystycznym). Poniżej podsumowanie kluczowych informacji bezpieczeństwa na podstawie danych producenta (</w:t>
      </w:r>
      <w:proofErr w:type="spellStart"/>
      <w:r w:rsidRPr="004058AF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Staedtler</w:t>
      </w:r>
      <w:proofErr w:type="spellEnd"/>
      <w:r w:rsidRPr="004058AF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) i standardów dla podobnych produktów ołowiowych. </w:t>
      </w:r>
    </w:p>
    <w:p w14:paraId="69D81CEF" w14:textId="77777777" w:rsidR="004058AF" w:rsidRPr="004058AF" w:rsidRDefault="004058AF" w:rsidP="004058AF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</w:pPr>
      <w:r w:rsidRPr="004058A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 xml:space="preserve">Identyfikacja zagrożeń (Hazard </w:t>
      </w:r>
      <w:proofErr w:type="spellStart"/>
      <w:r w:rsidRPr="004058A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Identification</w:t>
      </w:r>
      <w:proofErr w:type="spellEnd"/>
      <w:r w:rsidRPr="004058A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)</w:t>
      </w:r>
    </w:p>
    <w:p w14:paraId="22DAF742" w14:textId="77777777" w:rsidR="004058AF" w:rsidRPr="004058AF" w:rsidRDefault="004058AF" w:rsidP="004058A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4058A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Klasyfikacja</w:t>
      </w:r>
      <w:r w:rsidRPr="004058AF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: Nieklasyfikowany jako niebezpieczny zgodnie z rozporządzeniem CLP (</w:t>
      </w:r>
      <w:proofErr w:type="spellStart"/>
      <w:r w:rsidRPr="004058AF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Classification</w:t>
      </w:r>
      <w:proofErr w:type="spellEnd"/>
      <w:r w:rsidRPr="004058AF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, </w:t>
      </w:r>
      <w:proofErr w:type="spellStart"/>
      <w:r w:rsidRPr="004058AF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Labelling</w:t>
      </w:r>
      <w:proofErr w:type="spellEnd"/>
      <w:r w:rsidRPr="004058AF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and </w:t>
      </w:r>
      <w:proofErr w:type="spellStart"/>
      <w:r w:rsidRPr="004058AF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Packaging</w:t>
      </w:r>
      <w:proofErr w:type="spellEnd"/>
      <w:r w:rsidRPr="004058AF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). Brak piktogramów GHS. Niepalny, nie wybuchowy, nie powoduje korozji.</w:t>
      </w:r>
    </w:p>
    <w:p w14:paraId="454C712C" w14:textId="77777777" w:rsidR="004058AF" w:rsidRPr="004058AF" w:rsidRDefault="004058AF" w:rsidP="004058A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4058A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Główne ryzyka</w:t>
      </w:r>
      <w:r w:rsidRPr="004058AF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: Minimalne – drobne mechaniczne podrażnienie skóry lub oczu pyłem grafitu przy ostrzeniu lub łamaniu. Nie emituje oparów ani szkodliwych substancji. Bezzapachowy i niekorodujący dla powierzchni.</w:t>
      </w:r>
    </w:p>
    <w:p w14:paraId="209E88CB" w14:textId="77777777" w:rsidR="004058AF" w:rsidRPr="004058AF" w:rsidRDefault="004058AF" w:rsidP="004058A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4058A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Sygnały ostrzegawcze</w:t>
      </w:r>
      <w:r w:rsidRPr="004058AF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: Brak. Produkt jest ekologiczny, z niską emisją VOC (lotnych związków organicznych).</w:t>
      </w:r>
    </w:p>
    <w:p w14:paraId="7CF2851F" w14:textId="77777777" w:rsidR="004058AF" w:rsidRPr="004058AF" w:rsidRDefault="004058AF" w:rsidP="004058AF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</w:pPr>
      <w:r w:rsidRPr="004058A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Skład/Informacja o składnikach (</w:t>
      </w:r>
      <w:proofErr w:type="spellStart"/>
      <w:r w:rsidRPr="004058A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Composition</w:t>
      </w:r>
      <w:proofErr w:type="spellEnd"/>
      <w:r w:rsidRPr="004058A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 xml:space="preserve">/Information on </w:t>
      </w:r>
      <w:proofErr w:type="spellStart"/>
      <w:r w:rsidRPr="004058A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Ingredients</w:t>
      </w:r>
      <w:proofErr w:type="spellEnd"/>
      <w:r w:rsidRPr="004058A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)</w:t>
      </w:r>
    </w:p>
    <w:p w14:paraId="7EE9EAFF" w14:textId="77777777" w:rsidR="004058AF" w:rsidRPr="004058AF" w:rsidRDefault="004058AF" w:rsidP="004058AF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4058A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Główne składniki</w:t>
      </w:r>
      <w:r w:rsidRPr="004058AF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: Grafit (wysokiej jakości, woda-rozpuszczalny, ok. 2-3 mm średnicy), drewno cedrowe lub sosnowe (obudowa), pigmenty kolorowe (czarny, biały, czerwony, niebieski, zielony, żółty – niekorodujące, </w:t>
      </w:r>
      <w:proofErr w:type="spellStart"/>
      <w:r w:rsidRPr="004058AF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światłotrwałe</w:t>
      </w:r>
      <w:proofErr w:type="spellEnd"/>
      <w:r w:rsidRPr="004058AF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).</w:t>
      </w:r>
    </w:p>
    <w:p w14:paraId="6EE938D6" w14:textId="77777777" w:rsidR="004058AF" w:rsidRPr="004058AF" w:rsidRDefault="004058AF" w:rsidP="004058AF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4058A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Niebezpieczne substancje</w:t>
      </w:r>
      <w:r w:rsidRPr="004058AF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: Brak substancji powyżej 0,1% klasyfikowanych jako rakotwórcze, mutagenne lub toksyczne. Wolny od ołowiu metalicznego, </w:t>
      </w:r>
      <w:proofErr w:type="spellStart"/>
      <w:r w:rsidRPr="004058AF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ftalanów</w:t>
      </w:r>
      <w:proofErr w:type="spellEnd"/>
      <w:r w:rsidRPr="004058AF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, rozpuszczalników i alergenów. Pigmenty są nietoksyczne i biodegradowalne.</w:t>
      </w:r>
    </w:p>
    <w:p w14:paraId="043661DB" w14:textId="77777777" w:rsidR="004058AF" w:rsidRPr="004058AF" w:rsidRDefault="004058AF" w:rsidP="004058AF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4058A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Stężenia krytyczne</w:t>
      </w:r>
      <w:r w:rsidRPr="004058AF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: Grafit &lt;100% – naturalny, </w:t>
      </w:r>
      <w:proofErr w:type="spellStart"/>
      <w:r w:rsidRPr="004058AF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inertny</w:t>
      </w:r>
      <w:proofErr w:type="spellEnd"/>
      <w:r w:rsidRPr="004058AF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materiał.</w:t>
      </w:r>
    </w:p>
    <w:p w14:paraId="3554C8A1" w14:textId="77777777" w:rsidR="004058AF" w:rsidRPr="004058AF" w:rsidRDefault="004058AF" w:rsidP="004058AF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</w:pPr>
      <w:r w:rsidRPr="004058A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 xml:space="preserve">Środki pierwszej pomocy (First Aid </w:t>
      </w:r>
      <w:proofErr w:type="spellStart"/>
      <w:r w:rsidRPr="004058A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Measures</w:t>
      </w:r>
      <w:proofErr w:type="spellEnd"/>
      <w:r w:rsidRPr="004058A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)</w:t>
      </w:r>
    </w:p>
    <w:p w14:paraId="10A19990" w14:textId="77777777" w:rsidR="004058AF" w:rsidRPr="004058AF" w:rsidRDefault="004058AF" w:rsidP="004058AF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4058A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Kontakt ze skórą</w:t>
      </w:r>
      <w:r w:rsidRPr="004058AF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: Przemyć wodą. Nie powoduje podrażnień, ale w przypadku zaczerwienienia skonsultować lekarza.</w:t>
      </w:r>
    </w:p>
    <w:p w14:paraId="228CF152" w14:textId="77777777" w:rsidR="004058AF" w:rsidRPr="004058AF" w:rsidRDefault="004058AF" w:rsidP="004058AF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4058A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Kontakt z oczami</w:t>
      </w:r>
      <w:r w:rsidRPr="004058AF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: Natychmiast przemyć wodą przez 15 minut. Jeśli podrażnienie trwa, zgłosić się do okulisty (rzadkie przypadki pyłu).</w:t>
      </w:r>
    </w:p>
    <w:p w14:paraId="14129F9F" w14:textId="77777777" w:rsidR="004058AF" w:rsidRPr="004058AF" w:rsidRDefault="004058AF" w:rsidP="004058AF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4058A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Wdychanie</w:t>
      </w:r>
      <w:r w:rsidRPr="004058AF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: Przenieść na świeże powietrze. Brak oparów, ale przy dużym pyleniu (np. ostrzenie) zapewnić wentylację.</w:t>
      </w:r>
    </w:p>
    <w:p w14:paraId="29825F85" w14:textId="77777777" w:rsidR="004058AF" w:rsidRPr="004058AF" w:rsidRDefault="004058AF" w:rsidP="004058AF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proofErr w:type="spellStart"/>
      <w:r w:rsidRPr="004058A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Połyknięcie</w:t>
      </w:r>
      <w:proofErr w:type="spellEnd"/>
      <w:r w:rsidRPr="004058AF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: Dać pić wodę lub mleko. Nie prowokować wymiotów. Skonsultować lekarza – nie toksyczny, ale unikać połykania dużych ilości grafitu.</w:t>
      </w:r>
    </w:p>
    <w:p w14:paraId="0997331B" w14:textId="77777777" w:rsidR="004058AF" w:rsidRPr="004058AF" w:rsidRDefault="004058AF" w:rsidP="004058AF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4058A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Uwaga</w:t>
      </w:r>
      <w:r w:rsidRPr="004058AF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: Objawy są nieznaczne; produkt jest bezpieczny nawet przy przypadkowym kontakcie.</w:t>
      </w:r>
    </w:p>
    <w:p w14:paraId="089058B8" w14:textId="77777777" w:rsidR="004058AF" w:rsidRPr="004058AF" w:rsidRDefault="004058AF" w:rsidP="004058AF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</w:pPr>
      <w:r w:rsidRPr="004058A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Postępowanie z wyrobem i warunki przechowywania (Handling and Storage)</w:t>
      </w:r>
    </w:p>
    <w:p w14:paraId="24A85061" w14:textId="77777777" w:rsidR="004058AF" w:rsidRPr="004058AF" w:rsidRDefault="004058AF" w:rsidP="004058AF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4058A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Bezpieczne postępowanie</w:t>
      </w:r>
      <w:r w:rsidRPr="004058AF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: Używać w wentylowanym pomieszczeniu. Unikać ostrzenia w zamkniętych przestrzeniach (pył). Mycie rąk po użyciu. Nadaje się do znakowania na ciemnych i przezroczystych powierzchniach; zmywalne wodą z gąbką.</w:t>
      </w:r>
    </w:p>
    <w:p w14:paraId="6820624B" w14:textId="77777777" w:rsidR="004058AF" w:rsidRPr="004058AF" w:rsidRDefault="004058AF" w:rsidP="004058AF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4058A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lastRenderedPageBreak/>
        <w:t>Przechowywanie</w:t>
      </w:r>
      <w:r w:rsidRPr="004058AF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: W suchym miejscu, temp. 5–30°C, z dala od wilgoci i bezpośredniego słońca. Termin ważności: nieskończony (nie wysycha). Opakowanie: pojedyncze kredki lub zestawy po 12 szt.</w:t>
      </w:r>
    </w:p>
    <w:p w14:paraId="3D67B4E8" w14:textId="77777777" w:rsidR="004058AF" w:rsidRPr="004058AF" w:rsidRDefault="004058AF" w:rsidP="004058AF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4058A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Odpady</w:t>
      </w:r>
      <w:r w:rsidRPr="004058AF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: Traktować jako odpad biurowy lub drewniany (kod 20 01 39). Grafit jest biodegradowalny; nie zanieczyszcza środowiska.</w:t>
      </w:r>
    </w:p>
    <w:p w14:paraId="4E940411" w14:textId="77777777" w:rsidR="004058AF" w:rsidRPr="004058AF" w:rsidRDefault="004058AF" w:rsidP="004058AF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</w:pPr>
      <w:r w:rsidRPr="004058A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Kontrola narażenia/Środki ochrony indywidualnej (</w:t>
      </w:r>
      <w:proofErr w:type="spellStart"/>
      <w:r w:rsidRPr="004058A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Exposure</w:t>
      </w:r>
      <w:proofErr w:type="spellEnd"/>
      <w:r w:rsidRPr="004058A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 xml:space="preserve"> Controls/Personal </w:t>
      </w:r>
      <w:proofErr w:type="spellStart"/>
      <w:r w:rsidRPr="004058A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Protection</w:t>
      </w:r>
      <w:proofErr w:type="spellEnd"/>
      <w:r w:rsidRPr="004058A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)</w:t>
      </w:r>
    </w:p>
    <w:p w14:paraId="1F6CED93" w14:textId="77777777" w:rsidR="004058AF" w:rsidRPr="004058AF" w:rsidRDefault="004058AF" w:rsidP="004058AF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4058A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Ograniczniki</w:t>
      </w:r>
      <w:r w:rsidRPr="004058AF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: Brak specyficznych wartości granicznych (NDS/PDS dla grafitu: 2 mg/m³ pyłu).</w:t>
      </w:r>
    </w:p>
    <w:p w14:paraId="30E2DB5F" w14:textId="77777777" w:rsidR="004058AF" w:rsidRPr="004058AF" w:rsidRDefault="004058AF" w:rsidP="004058AF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4058A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Ochrona</w:t>
      </w:r>
      <w:r w:rsidRPr="004058AF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: Nie wymagana dla normalnego użytku. Przy masowym ostrzeniu: okulary ochronne i rękawice. Mycie rąk po pracy.</w:t>
      </w:r>
    </w:p>
    <w:p w14:paraId="0A06A37B" w14:textId="77777777" w:rsidR="004058AF" w:rsidRPr="004058AF" w:rsidRDefault="004058AF" w:rsidP="004058AF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</w:pPr>
      <w:r w:rsidRPr="004058A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Właściwości fizyczne i chemiczne (</w:t>
      </w:r>
      <w:proofErr w:type="spellStart"/>
      <w:r w:rsidRPr="004058A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Physical</w:t>
      </w:r>
      <w:proofErr w:type="spellEnd"/>
      <w:r w:rsidRPr="004058A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 xml:space="preserve"> and </w:t>
      </w:r>
      <w:proofErr w:type="spellStart"/>
      <w:r w:rsidRPr="004058A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Chemical</w:t>
      </w:r>
      <w:proofErr w:type="spellEnd"/>
      <w:r w:rsidRPr="004058A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 xml:space="preserve"> </w:t>
      </w:r>
      <w:proofErr w:type="spellStart"/>
      <w:r w:rsidRPr="004058A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Properties</w:t>
      </w:r>
      <w:proofErr w:type="spellEnd"/>
      <w:r w:rsidRPr="004058A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)</w:t>
      </w:r>
    </w:p>
    <w:p w14:paraId="3BBA629A" w14:textId="77777777" w:rsidR="004058AF" w:rsidRPr="004058AF" w:rsidRDefault="004058AF" w:rsidP="004058AF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4058A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Wygląd</w:t>
      </w:r>
      <w:r w:rsidRPr="004058AF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: Sześciokątna drewniana kredka, długość ok. 175 mm, grafit w 6 kolorach.</w:t>
      </w:r>
    </w:p>
    <w:p w14:paraId="78657B45" w14:textId="77777777" w:rsidR="004058AF" w:rsidRPr="004058AF" w:rsidRDefault="004058AF" w:rsidP="004058AF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4058A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Zapach</w:t>
      </w:r>
      <w:r w:rsidRPr="004058AF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: Bezzapachowy.</w:t>
      </w:r>
    </w:p>
    <w:p w14:paraId="6836F149" w14:textId="77777777" w:rsidR="004058AF" w:rsidRPr="004058AF" w:rsidRDefault="004058AF" w:rsidP="004058AF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4058A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Rozpuszczalność</w:t>
      </w:r>
      <w:r w:rsidRPr="004058AF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: Woda-rozpuszczalny grafit; zmywalny z większości powierzchni (plastik, metal, tkaniny).</w:t>
      </w:r>
    </w:p>
    <w:p w14:paraId="1ED37B07" w14:textId="77777777" w:rsidR="004058AF" w:rsidRPr="004058AF" w:rsidRDefault="004058AF" w:rsidP="004058AF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proofErr w:type="spellStart"/>
      <w:r w:rsidRPr="004058A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pH</w:t>
      </w:r>
      <w:proofErr w:type="spellEnd"/>
      <w:r w:rsidRPr="004058AF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: Neutralne.</w:t>
      </w:r>
    </w:p>
    <w:p w14:paraId="32237889" w14:textId="77777777" w:rsidR="004058AF" w:rsidRPr="004058AF" w:rsidRDefault="004058AF" w:rsidP="004058AF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4058A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Stabilność</w:t>
      </w:r>
      <w:r w:rsidRPr="004058AF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: Stabilny; odporny na światło, nie blaknie przez lata.</w:t>
      </w:r>
    </w:p>
    <w:p w14:paraId="15D3F411" w14:textId="77777777" w:rsidR="004058AF" w:rsidRPr="004058AF" w:rsidRDefault="004058AF" w:rsidP="004058AF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</w:pPr>
      <w:r w:rsidRPr="004058A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Stabilność i reaktywność (</w:t>
      </w:r>
      <w:proofErr w:type="spellStart"/>
      <w:r w:rsidRPr="004058A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Stability</w:t>
      </w:r>
      <w:proofErr w:type="spellEnd"/>
      <w:r w:rsidRPr="004058A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 xml:space="preserve"> and </w:t>
      </w:r>
      <w:proofErr w:type="spellStart"/>
      <w:r w:rsidRPr="004058A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Reactivity</w:t>
      </w:r>
      <w:proofErr w:type="spellEnd"/>
      <w:r w:rsidRPr="004058A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)</w:t>
      </w:r>
    </w:p>
    <w:p w14:paraId="7F46F0E9" w14:textId="77777777" w:rsidR="004058AF" w:rsidRPr="004058AF" w:rsidRDefault="004058AF" w:rsidP="004058AF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4058AF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Stabilny w normalnych warunkach. Nie reaguje z wodą, kwasami czy zasadami. Niepalny.</w:t>
      </w:r>
    </w:p>
    <w:p w14:paraId="5F951873" w14:textId="77777777" w:rsidR="004058AF" w:rsidRPr="004058AF" w:rsidRDefault="004058AF" w:rsidP="004058AF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</w:pPr>
      <w:r w:rsidRPr="004058A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Informacje toksykologiczne (</w:t>
      </w:r>
      <w:proofErr w:type="spellStart"/>
      <w:r w:rsidRPr="004058A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Toxicological</w:t>
      </w:r>
      <w:proofErr w:type="spellEnd"/>
      <w:r w:rsidRPr="004058A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 xml:space="preserve"> Information)</w:t>
      </w:r>
    </w:p>
    <w:p w14:paraId="75D7CCB7" w14:textId="77777777" w:rsidR="004058AF" w:rsidRPr="004058AF" w:rsidRDefault="004058AF" w:rsidP="004058AF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4058A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Toksyczność ostra</w:t>
      </w:r>
      <w:r w:rsidRPr="004058AF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: LD50 &gt; 2000 mg/kg (nie toksyczny doustnie lub skórnie).</w:t>
      </w:r>
    </w:p>
    <w:p w14:paraId="72D5799F" w14:textId="77777777" w:rsidR="004058AF" w:rsidRPr="004058AF" w:rsidRDefault="004058AF" w:rsidP="004058AF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4058A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Podrażnienia</w:t>
      </w:r>
      <w:r w:rsidRPr="004058AF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: Brak dla skóry; minimalne dla oczu (pył – kategoria mechaniczna).</w:t>
      </w:r>
    </w:p>
    <w:p w14:paraId="02A7AD65" w14:textId="77777777" w:rsidR="004058AF" w:rsidRPr="004058AF" w:rsidRDefault="004058AF" w:rsidP="004058AF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4058A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Długoterminowe</w:t>
      </w:r>
      <w:r w:rsidRPr="004058AF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: Brak ryzyka rakotwórczości lub mutagenności. Bezpieczny dla dzieci (zgodny z normą EN 71-3 dla zabawek).</w:t>
      </w:r>
    </w:p>
    <w:p w14:paraId="75B3AD11" w14:textId="77777777" w:rsidR="004058AF" w:rsidRPr="004058AF" w:rsidRDefault="004058AF" w:rsidP="004058AF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</w:pPr>
      <w:r w:rsidRPr="004058A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Informacje ekologiczne (</w:t>
      </w:r>
      <w:proofErr w:type="spellStart"/>
      <w:r w:rsidRPr="004058A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Ecological</w:t>
      </w:r>
      <w:proofErr w:type="spellEnd"/>
      <w:r w:rsidRPr="004058A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 xml:space="preserve"> Information)</w:t>
      </w:r>
    </w:p>
    <w:p w14:paraId="090359EC" w14:textId="77777777" w:rsidR="004058AF" w:rsidRPr="004058AF" w:rsidRDefault="004058AF" w:rsidP="004058AF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proofErr w:type="spellStart"/>
      <w:r w:rsidRPr="004058A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Ekotoksyczność</w:t>
      </w:r>
      <w:proofErr w:type="spellEnd"/>
      <w:r w:rsidRPr="004058AF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: Niska; grafit </w:t>
      </w:r>
      <w:proofErr w:type="spellStart"/>
      <w:r w:rsidRPr="004058AF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inertny</w:t>
      </w:r>
      <w:proofErr w:type="spellEnd"/>
      <w:r w:rsidRPr="004058AF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, pigmenty biodegradowalne. Nie </w:t>
      </w:r>
      <w:proofErr w:type="spellStart"/>
      <w:r w:rsidRPr="004058AF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bioakumuluje</w:t>
      </w:r>
      <w:proofErr w:type="spellEnd"/>
      <w:r w:rsidRPr="004058AF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się.</w:t>
      </w:r>
    </w:p>
    <w:p w14:paraId="609D56C6" w14:textId="77777777" w:rsidR="004058AF" w:rsidRPr="004058AF" w:rsidRDefault="004058AF" w:rsidP="004058AF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4058A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Biodegradacja</w:t>
      </w:r>
      <w:r w:rsidRPr="004058AF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: Drewno i grafit naturalnie rozkładalne.</w:t>
      </w:r>
    </w:p>
    <w:p w14:paraId="0F16D1EF" w14:textId="77777777" w:rsidR="004058AF" w:rsidRPr="004058AF" w:rsidRDefault="004058AF" w:rsidP="004058AF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</w:pPr>
      <w:r w:rsidRPr="004058A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Rozporządzenia (Regulatory Information)</w:t>
      </w:r>
    </w:p>
    <w:p w14:paraId="798075CB" w14:textId="77777777" w:rsidR="004058AF" w:rsidRPr="004058AF" w:rsidRDefault="004058AF" w:rsidP="004058AF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4058AF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Zgodny z REACH, CLP (UE), ASTM D-4236 (USA). Certyfikaty: CE, FSC (zrównoważone drewno). Bezpieczny do użytku w UE, w tym w pomieszczeniach i z żywnością (nie przenika).</w:t>
      </w:r>
    </w:p>
    <w:p w14:paraId="5033E0E2" w14:textId="77777777" w:rsidR="004058AF" w:rsidRPr="004058AF" w:rsidRDefault="004058AF" w:rsidP="004058AF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</w:pPr>
      <w:r w:rsidRPr="004058A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Zalecenia ogólne</w:t>
      </w:r>
    </w:p>
    <w:p w14:paraId="71472CEB" w14:textId="77777777" w:rsidR="004058AF" w:rsidRPr="004058AF" w:rsidRDefault="004058AF" w:rsidP="004058AF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4058AF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lastRenderedPageBreak/>
        <w:t xml:space="preserve">Idealny do znakowania w przemyśle, rzemiośle i hobby. Zmywalny wodą, nie pozostawia śladów. W razie wątpliwości skontaktuj się z producentem: </w:t>
      </w:r>
      <w:proofErr w:type="spellStart"/>
      <w:r w:rsidRPr="004058AF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Staedtler</w:t>
      </w:r>
      <w:proofErr w:type="spellEnd"/>
      <w:r w:rsidRPr="004058AF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SE, </w:t>
      </w:r>
      <w:proofErr w:type="spellStart"/>
      <w:r w:rsidRPr="004058AF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Moosfeldstraße</w:t>
      </w:r>
      <w:proofErr w:type="spellEnd"/>
      <w:r w:rsidRPr="004058AF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30, 90482 Nürnberg, Niemcy; tel. +49 911 93810.</w:t>
      </w:r>
    </w:p>
    <w:p w14:paraId="6747DB54" w14:textId="77777777" w:rsidR="00C05E0E" w:rsidRDefault="00C05E0E"/>
    <w:sectPr w:rsidR="00C05E0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35195"/>
    <w:multiLevelType w:val="multilevel"/>
    <w:tmpl w:val="58DA0D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70037C1"/>
    <w:multiLevelType w:val="multilevel"/>
    <w:tmpl w:val="39D628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E0F4F88"/>
    <w:multiLevelType w:val="multilevel"/>
    <w:tmpl w:val="BC1278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2653AD9"/>
    <w:multiLevelType w:val="multilevel"/>
    <w:tmpl w:val="B59E17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C4D3957"/>
    <w:multiLevelType w:val="multilevel"/>
    <w:tmpl w:val="F02685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C752DD3"/>
    <w:multiLevelType w:val="multilevel"/>
    <w:tmpl w:val="5ACA95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F1F47D7"/>
    <w:multiLevelType w:val="multilevel"/>
    <w:tmpl w:val="AC2238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3595F30"/>
    <w:multiLevelType w:val="multilevel"/>
    <w:tmpl w:val="131200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0F16876"/>
    <w:multiLevelType w:val="multilevel"/>
    <w:tmpl w:val="7286F7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64D17022"/>
    <w:multiLevelType w:val="multilevel"/>
    <w:tmpl w:val="4CF6FC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7ED2190B"/>
    <w:multiLevelType w:val="multilevel"/>
    <w:tmpl w:val="BBE6FA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186016522">
    <w:abstractNumId w:val="0"/>
  </w:num>
  <w:num w:numId="2" w16cid:durableId="129984225">
    <w:abstractNumId w:val="2"/>
  </w:num>
  <w:num w:numId="3" w16cid:durableId="932277152">
    <w:abstractNumId w:val="3"/>
  </w:num>
  <w:num w:numId="4" w16cid:durableId="1525705142">
    <w:abstractNumId w:val="4"/>
  </w:num>
  <w:num w:numId="5" w16cid:durableId="1250966471">
    <w:abstractNumId w:val="6"/>
  </w:num>
  <w:num w:numId="6" w16cid:durableId="1602758447">
    <w:abstractNumId w:val="1"/>
  </w:num>
  <w:num w:numId="7" w16cid:durableId="193620902">
    <w:abstractNumId w:val="9"/>
  </w:num>
  <w:num w:numId="8" w16cid:durableId="532957483">
    <w:abstractNumId w:val="10"/>
  </w:num>
  <w:num w:numId="9" w16cid:durableId="1050885903">
    <w:abstractNumId w:val="5"/>
  </w:num>
  <w:num w:numId="10" w16cid:durableId="1362589545">
    <w:abstractNumId w:val="8"/>
  </w:num>
  <w:num w:numId="11" w16cid:durableId="934023734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58AF"/>
    <w:rsid w:val="0000554F"/>
    <w:rsid w:val="0002328D"/>
    <w:rsid w:val="00051ACF"/>
    <w:rsid w:val="000532DD"/>
    <w:rsid w:val="00062737"/>
    <w:rsid w:val="00073636"/>
    <w:rsid w:val="000752D9"/>
    <w:rsid w:val="000B22FC"/>
    <w:rsid w:val="000D2F1E"/>
    <w:rsid w:val="001025EC"/>
    <w:rsid w:val="00143314"/>
    <w:rsid w:val="00145153"/>
    <w:rsid w:val="00154850"/>
    <w:rsid w:val="00154E42"/>
    <w:rsid w:val="00164289"/>
    <w:rsid w:val="00171C91"/>
    <w:rsid w:val="00172E8F"/>
    <w:rsid w:val="0017398A"/>
    <w:rsid w:val="00190631"/>
    <w:rsid w:val="001918D1"/>
    <w:rsid w:val="00195FD4"/>
    <w:rsid w:val="001A3B90"/>
    <w:rsid w:val="001A511C"/>
    <w:rsid w:val="001A5D42"/>
    <w:rsid w:val="001C300B"/>
    <w:rsid w:val="001E6C24"/>
    <w:rsid w:val="001F1DBA"/>
    <w:rsid w:val="001F3C33"/>
    <w:rsid w:val="0020448C"/>
    <w:rsid w:val="00222265"/>
    <w:rsid w:val="00227AE6"/>
    <w:rsid w:val="00227D91"/>
    <w:rsid w:val="002341D0"/>
    <w:rsid w:val="00234A24"/>
    <w:rsid w:val="00234AF9"/>
    <w:rsid w:val="002437DD"/>
    <w:rsid w:val="00247A2C"/>
    <w:rsid w:val="00254D94"/>
    <w:rsid w:val="00274740"/>
    <w:rsid w:val="00291290"/>
    <w:rsid w:val="002B1346"/>
    <w:rsid w:val="002B43E4"/>
    <w:rsid w:val="002B63C1"/>
    <w:rsid w:val="002C2F9E"/>
    <w:rsid w:val="002C495A"/>
    <w:rsid w:val="002E788E"/>
    <w:rsid w:val="003050A3"/>
    <w:rsid w:val="0033346A"/>
    <w:rsid w:val="003604BA"/>
    <w:rsid w:val="00365C59"/>
    <w:rsid w:val="00372C61"/>
    <w:rsid w:val="00384782"/>
    <w:rsid w:val="00384A67"/>
    <w:rsid w:val="00386EF6"/>
    <w:rsid w:val="003A4DBB"/>
    <w:rsid w:val="003A4F09"/>
    <w:rsid w:val="003C542E"/>
    <w:rsid w:val="003D6010"/>
    <w:rsid w:val="003F5ECD"/>
    <w:rsid w:val="00400996"/>
    <w:rsid w:val="004058AF"/>
    <w:rsid w:val="00420762"/>
    <w:rsid w:val="00421E91"/>
    <w:rsid w:val="00427C30"/>
    <w:rsid w:val="00447F00"/>
    <w:rsid w:val="0047400C"/>
    <w:rsid w:val="00481E47"/>
    <w:rsid w:val="00485E78"/>
    <w:rsid w:val="004A0322"/>
    <w:rsid w:val="004C576E"/>
    <w:rsid w:val="004D05DF"/>
    <w:rsid w:val="004D0A85"/>
    <w:rsid w:val="004D7F32"/>
    <w:rsid w:val="004E020D"/>
    <w:rsid w:val="004E6B54"/>
    <w:rsid w:val="004F6E78"/>
    <w:rsid w:val="0050225D"/>
    <w:rsid w:val="00535B8E"/>
    <w:rsid w:val="0054184B"/>
    <w:rsid w:val="00562EAA"/>
    <w:rsid w:val="00573BBA"/>
    <w:rsid w:val="00577E31"/>
    <w:rsid w:val="005926D5"/>
    <w:rsid w:val="00592B84"/>
    <w:rsid w:val="005A4D4B"/>
    <w:rsid w:val="005C6A82"/>
    <w:rsid w:val="0062594E"/>
    <w:rsid w:val="006259DD"/>
    <w:rsid w:val="00640A9B"/>
    <w:rsid w:val="006633D6"/>
    <w:rsid w:val="006736C7"/>
    <w:rsid w:val="00680954"/>
    <w:rsid w:val="00682254"/>
    <w:rsid w:val="006A0604"/>
    <w:rsid w:val="006B35E1"/>
    <w:rsid w:val="006D2FF8"/>
    <w:rsid w:val="006D64BD"/>
    <w:rsid w:val="006E6BA5"/>
    <w:rsid w:val="006E7AAB"/>
    <w:rsid w:val="006F015F"/>
    <w:rsid w:val="0072209A"/>
    <w:rsid w:val="007431A4"/>
    <w:rsid w:val="0074732C"/>
    <w:rsid w:val="00751A86"/>
    <w:rsid w:val="00767914"/>
    <w:rsid w:val="007923F9"/>
    <w:rsid w:val="007C6506"/>
    <w:rsid w:val="007C7E5E"/>
    <w:rsid w:val="007D06C4"/>
    <w:rsid w:val="007D37EC"/>
    <w:rsid w:val="007D7819"/>
    <w:rsid w:val="00826EF5"/>
    <w:rsid w:val="0083463E"/>
    <w:rsid w:val="00835462"/>
    <w:rsid w:val="00860A3E"/>
    <w:rsid w:val="00874D1C"/>
    <w:rsid w:val="0088664F"/>
    <w:rsid w:val="008A0DF7"/>
    <w:rsid w:val="008A3FE8"/>
    <w:rsid w:val="008A6424"/>
    <w:rsid w:val="008A75EB"/>
    <w:rsid w:val="008D4831"/>
    <w:rsid w:val="008E3263"/>
    <w:rsid w:val="00913644"/>
    <w:rsid w:val="00913F3D"/>
    <w:rsid w:val="009411B2"/>
    <w:rsid w:val="00954792"/>
    <w:rsid w:val="00973277"/>
    <w:rsid w:val="00985F5C"/>
    <w:rsid w:val="009A57B8"/>
    <w:rsid w:val="009D16AC"/>
    <w:rsid w:val="009D584F"/>
    <w:rsid w:val="009E6F6A"/>
    <w:rsid w:val="00A03094"/>
    <w:rsid w:val="00A03793"/>
    <w:rsid w:val="00A065B0"/>
    <w:rsid w:val="00A26ED5"/>
    <w:rsid w:val="00A37629"/>
    <w:rsid w:val="00A402B4"/>
    <w:rsid w:val="00A66484"/>
    <w:rsid w:val="00A67533"/>
    <w:rsid w:val="00A82F94"/>
    <w:rsid w:val="00AB4129"/>
    <w:rsid w:val="00AE7AAE"/>
    <w:rsid w:val="00AF67C8"/>
    <w:rsid w:val="00B1327C"/>
    <w:rsid w:val="00B30B4A"/>
    <w:rsid w:val="00B83099"/>
    <w:rsid w:val="00BB402D"/>
    <w:rsid w:val="00BC131B"/>
    <w:rsid w:val="00BD1043"/>
    <w:rsid w:val="00BF472E"/>
    <w:rsid w:val="00C002AB"/>
    <w:rsid w:val="00C05E0E"/>
    <w:rsid w:val="00C17E4D"/>
    <w:rsid w:val="00C20EA6"/>
    <w:rsid w:val="00C425F5"/>
    <w:rsid w:val="00C56FF5"/>
    <w:rsid w:val="00C91943"/>
    <w:rsid w:val="00C91A90"/>
    <w:rsid w:val="00CD4A8A"/>
    <w:rsid w:val="00CE0C30"/>
    <w:rsid w:val="00D038BC"/>
    <w:rsid w:val="00D03BD5"/>
    <w:rsid w:val="00D37CCE"/>
    <w:rsid w:val="00D553DB"/>
    <w:rsid w:val="00D6191C"/>
    <w:rsid w:val="00D73F58"/>
    <w:rsid w:val="00D872EE"/>
    <w:rsid w:val="00D87473"/>
    <w:rsid w:val="00D875EC"/>
    <w:rsid w:val="00D91A27"/>
    <w:rsid w:val="00DA75DA"/>
    <w:rsid w:val="00DC0648"/>
    <w:rsid w:val="00E0351D"/>
    <w:rsid w:val="00E037EC"/>
    <w:rsid w:val="00E15477"/>
    <w:rsid w:val="00E15802"/>
    <w:rsid w:val="00E2350B"/>
    <w:rsid w:val="00E334A0"/>
    <w:rsid w:val="00E35718"/>
    <w:rsid w:val="00E4138A"/>
    <w:rsid w:val="00E47284"/>
    <w:rsid w:val="00E5489D"/>
    <w:rsid w:val="00E573A3"/>
    <w:rsid w:val="00E768E2"/>
    <w:rsid w:val="00E83E8C"/>
    <w:rsid w:val="00E90276"/>
    <w:rsid w:val="00EA3D5A"/>
    <w:rsid w:val="00ED162C"/>
    <w:rsid w:val="00ED5EB7"/>
    <w:rsid w:val="00ED7747"/>
    <w:rsid w:val="00EE4B8D"/>
    <w:rsid w:val="00EF2A92"/>
    <w:rsid w:val="00F10FCE"/>
    <w:rsid w:val="00F251BE"/>
    <w:rsid w:val="00F32347"/>
    <w:rsid w:val="00F34C48"/>
    <w:rsid w:val="00F4364B"/>
    <w:rsid w:val="00F52739"/>
    <w:rsid w:val="00F65A98"/>
    <w:rsid w:val="00F74006"/>
    <w:rsid w:val="00FA0E54"/>
    <w:rsid w:val="00FC0529"/>
    <w:rsid w:val="00FC0FD4"/>
    <w:rsid w:val="00FC21F1"/>
    <w:rsid w:val="00FC6D19"/>
    <w:rsid w:val="00FC6E9F"/>
    <w:rsid w:val="00FD39FD"/>
    <w:rsid w:val="00FF0560"/>
    <w:rsid w:val="00FF7C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03A23D"/>
  <w15:chartTrackingRefBased/>
  <w15:docId w15:val="{CFA141EE-BB77-4599-A141-BC36FEF6B5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4058A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4058A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4058A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4058A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4058A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4058A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4058A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4058A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4058A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4058A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4058A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4058A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4058AF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4058AF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4058AF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4058AF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4058AF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4058AF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4058A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4058A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4058A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4058A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4058A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4058AF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4058AF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4058AF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4058A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4058AF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4058A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693</Words>
  <Characters>4161</Characters>
  <Application>Microsoft Office Word</Application>
  <DocSecurity>0</DocSecurity>
  <Lines>34</Lines>
  <Paragraphs>9</Paragraphs>
  <ScaleCrop>false</ScaleCrop>
  <Company/>
  <LinksUpToDate>false</LinksUpToDate>
  <CharactersWithSpaces>4845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Barbara Jakubowicz</dc:creator>
  <cp:keywords/>
  <dc:description/>
  <cp:lastModifiedBy>Barbara Jakubowicz</cp:lastModifiedBy>
  <cp:revision>2</cp:revision>
  <dcterms:created xsi:type="dcterms:W3CDTF">2025-12-04T11:19:00Z</dcterms:created>
  <dcterms:modified xsi:type="dcterms:W3CDTF">2025-12-04T11:19:00Z</dcterms:modified>
</cp:coreProperties>
</file>